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29.png" ContentType="image/png"/>
  <Override PartName="/word/media/rId58.png" ContentType="image/png"/>
  <Override PartName="/word/media/rId39.png" ContentType="image/png"/>
  <Override PartName="/word/media/rId23.png" ContentType="image/png"/>
  <Override PartName="/word/media/rId62.png" ContentType="image/png"/>
  <Override PartName="/word/media/rId66.png" ContentType="image/png"/>
  <Override PartName="/word/media/rId54.png" ContentType="image/png"/>
  <Override PartName="/word/media/rId83.png" ContentType="image/png"/>
  <Override PartName="/word/media/rId79.png" ContentType="image/png"/>
  <Override PartName="/word/media/rId33.png" ContentType="image/png"/>
  <Override PartName="/word/media/rId75.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13,</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ook w:firstRow="0" w:lastRow="0" w:firstColumn="0" w:lastColumn="0" w:noHBand="0" w:noVBand="0" w:val="0000"/>
        <w:jc w:val="start"/>
        <w:tblLayout w:type="fixed"/>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37"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For polyhedrons and multifacial cores, a preference of chert ( n = 3, 8.1% ) and lava ( n = 26, 70.3% ) was shown.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3</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In contrast,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6" w:name="fig-basic-characteristics"/>
          <w:p>
            <w:pPr>
              <w:pStyle w:val="Compact"/>
              <w:jc w:val="center"/>
            </w:pPr>
            <w:r>
              <w:drawing>
                <wp:inline>
                  <wp:extent cx="5943600" cy="4754880"/>
                  <wp:effectExtent b="0" l="0" r="0" t="0"/>
                  <wp:docPr descr="" title="" id="34" name="Picture"/>
                  <a:graphic>
                    <a:graphicData uri="http://schemas.openxmlformats.org/drawingml/2006/picture">
                      <pic:pic>
                        <pic:nvPicPr>
                          <pic:cNvPr descr="paper_files/figure-docx/fig-basic-characteristics-1.png" id="35"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Basic characteristics of the Qianshangying assemblage. A: Raw material proportions. B: Box plot comparing of core, spheroid, and multifacial core dimensions</w:t>
            </w:r>
          </w:p>
          <w:bookmarkEnd w:id="36"/>
        </w:tc>
      </w:tr>
    </w:tbl>
    <w:bookmarkEnd w:id="37"/>
    <w:bookmarkStart w:id="52"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45"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8"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8"/>
    <w:bookmarkStart w:id="4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6</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besides, we used rotation-invariant power spectrum and UMAP to extract the shape features, explore hidden structures in data,and then achieve grouping among flaked pieces,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42" w:name="fig-SPHARM-steps"/>
          <w:p>
            <w:pPr>
              <w:pStyle w:val="Compact"/>
              <w:jc w:val="center"/>
            </w:pPr>
            <w:r>
              <w:drawing>
                <wp:inline>
                  <wp:extent cx="5943600" cy="4592781"/>
                  <wp:effectExtent b="0" l="0" r="0" t="0"/>
                  <wp:docPr descr="" title="" id="40" name="Picture"/>
                  <a:graphic>
                    <a:graphicData uri="http://schemas.openxmlformats.org/drawingml/2006/picture">
                      <pic:pic>
                        <pic:nvPicPr>
                          <pic:cNvPr descr="figures/SPHARM_steps.png" id="41" name="Picture"/>
                          <pic:cNvPicPr>
                            <a:picLocks noChangeArrowheads="1" noChangeAspect="1"/>
                          </pic:cNvPicPr>
                        </pic:nvPicPr>
                        <pic:blipFill>
                          <a:blip r:embed="rId3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steps of 3D spherical harmonics analysis</w:t>
            </w:r>
          </w:p>
          <w:bookmarkEnd w:id="42"/>
        </w:tc>
      </w:tr>
    </w:tbl>
    <w:p>
      <w:pPr>
        <w:pStyle w:val="BodyText"/>
      </w:pPr>
      <w:r>
        <w:t xml:space="preserve">As shown in the</w:t>
      </w:r>
      <w:r>
        <w:t xml:space="preserve"> </w:t>
      </w:r>
      <w:hyperlink w:anchor="fig-SPHARM-steps">
        <w:r>
          <w:rPr>
            <w:rStyle w:val="Hyperlink"/>
          </w:rPr>
          <w:t xml:space="preserve">Figure 4</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43"/>
    <w:bookmarkStart w:id="4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4"/>
    <w:bookmarkEnd w:id="45"/>
    <w:bookmarkStart w:id="48"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6"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46"/>
    <w:bookmarkStart w:id="47"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7"/>
    <w:bookmarkEnd w:id="48"/>
    <w:bookmarkStart w:id="51"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9"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9"/>
    <w:bookmarkStart w:id="50"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50"/>
    <w:bookmarkEnd w:id="51"/>
    <w:bookmarkEnd w:id="52"/>
    <w:bookmarkStart w:id="94" w:name="results"/>
    <w:p>
      <w:pPr>
        <w:pStyle w:val="Heading1"/>
      </w:pPr>
      <w:r>
        <w:t xml:space="preserve">Results</w:t>
      </w:r>
    </w:p>
    <w:bookmarkStart w:id="74"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3" w:name="tbl-1"/>
          <w:p>
            <w:pPr>
              <w:jc w:val="center"/>
            </w:pPr>
            <w:pPr>
              <w:jc w:val="start"/>
              <w:spacing w:before="200"/>
              <w:pStyle w:val="ImageCaption"/>
            </w:pPr>
            <w:r>
              <w:t xml:space="preserve">Table 2: Summary of core typology and morphological parameters.</w:t>
            </w:r>
          </w:p>
          <w:tbl>
            <w:tblPr>
              <w:tblStyle w:val="Table"/>
              <w:tblW w:type="pct" w:w="5000"/>
              <w:tblLook w:firstRow="1" w:lastRow="0" w:firstColumn="0" w:lastColumn="0" w:noHBand="0" w:noVBand="0" w:val="0020"/>
              <w:jc w:val="start"/>
              <w:tblLayout w:type="fixed"/>
            </w:tblPr>
            <w:tblGrid>
              <w:gridCol w:w="691"/>
              <w:gridCol w:w="691"/>
              <w:gridCol w:w="1068"/>
              <w:gridCol w:w="1068"/>
              <w:gridCol w:w="754"/>
              <w:gridCol w:w="1194"/>
              <w:gridCol w:w="691"/>
              <w:gridCol w:w="817"/>
              <w:gridCol w:w="942"/>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3"/>
          <w:p/>
        </w:tc>
      </w:tr>
    </w:tbl>
    <w:p>
      <w:pPr>
        <w:pStyle w:val="SourceCode"/>
      </w:pPr>
      <w:r>
        <w:rPr>
          <w:rStyle w:val="CommentTok"/>
        </w:rPr>
        <w:t xml:space="preserve"># combine plots</w:t>
      </w:r>
      <w:r>
        <w:br/>
      </w:r>
      <w:r>
        <w:rPr>
          <w:rStyle w:val="FunctionTok"/>
        </w:rPr>
        <w:t xml:space="preserve">library</w:t>
      </w:r>
      <w:r>
        <w:rPr>
          <w:rStyle w:val="NormalTok"/>
        </w:rPr>
        <w:t xml:space="preserve">(cowplot)</w:t>
      </w:r>
      <w:r>
        <w:br/>
      </w:r>
      <w:r>
        <w:rPr>
          <w:rStyle w:val="NormalTok"/>
        </w:rPr>
        <w:t xml:space="preserve">p_panel_spharm </w:t>
      </w:r>
      <w:r>
        <w:rPr>
          <w:rStyle w:val="OtherTok"/>
        </w:rPr>
        <w:t xml:space="preserve">&lt;-</w:t>
      </w:r>
      <w:r>
        <w:rPr>
          <w:rStyle w:val="NormalTok"/>
        </w:rPr>
        <w:t xml:space="preserve"> </w:t>
      </w:r>
      <w:r>
        <w:br/>
      </w:r>
      <w:r>
        <w:rPr>
          <w:rStyle w:val="FunctionTok"/>
        </w:rPr>
        <w:t xml:space="preserve">plot_grid</w:t>
      </w:r>
      <w:r>
        <w:rPr>
          <w:rStyle w:val="NormalTok"/>
        </w:rPr>
        <w:t xml:space="preserve">(p_power_spectrum, </w:t>
      </w:r>
      <w:r>
        <w:br/>
      </w:r>
      <w:r>
        <w:rPr>
          <w:rStyle w:val="NormalTok"/>
        </w:rPr>
        <w:t xml:space="preserve">          p_variance_per_degreee,</w:t>
      </w:r>
      <w:r>
        <w:br/>
      </w:r>
      <w:r>
        <w:rPr>
          <w:rStyle w:val="NormalTok"/>
        </w:rPr>
        <w:t xml:space="preserve">          p_sphericity_and_she,</w:t>
      </w:r>
      <w:r>
        <w:br/>
      </w:r>
      <w:r>
        <w:rPr>
          <w:rStyle w:val="NormalTok"/>
        </w:rPr>
        <w:t xml:space="preserve">          p_corr_sphericiy_she,</w:t>
      </w:r>
      <w:r>
        <w:br/>
      </w:r>
      <w:r>
        <w:rPr>
          <w:rStyle w:val="NormalTok"/>
        </w:rPr>
        <w:t xml:space="preserve">          </w:t>
      </w:r>
      <w:r>
        <w:rPr>
          <w:rStyle w:val="AttributeTok"/>
        </w:rPr>
        <w:t xml:space="preserve">labels =</w:t>
      </w:r>
      <w:r>
        <w:rPr>
          <w:rStyle w:val="NormalTok"/>
        </w:rPr>
        <w:t xml:space="preserve"> </w:t>
      </w:r>
      <w:r>
        <w:rPr>
          <w:rStyle w:val="StringTok"/>
        </w:rPr>
        <w:t xml:space="preserve">'AUTO'</w:t>
      </w:r>
      <w:r>
        <w:br/>
      </w:r>
      <w:r>
        <w:rPr>
          <w:rStyle w:val="NormalTok"/>
        </w:rPr>
        <w:t xml:space="preserve">           )</w:t>
      </w:r>
      <w:r>
        <w:br/>
      </w:r>
      <w:r>
        <w:br/>
      </w:r>
      <w:r>
        <w:rPr>
          <w:rStyle w:val="FunctionTok"/>
        </w:rPr>
        <w:t xml:space="preserve">ggsave</w:t>
      </w:r>
      <w:r>
        <w:rPr>
          <w:rStyle w:val="NormalTok"/>
        </w:rPr>
        <w:t xml:space="preserve">(</w:t>
      </w:r>
      <w:r>
        <w:rPr>
          <w:rStyle w:val="AttributeTok"/>
        </w:rPr>
        <w:t xml:space="preserve">plot =</w:t>
      </w:r>
      <w:r>
        <w:rPr>
          <w:rStyle w:val="NormalTok"/>
        </w:rPr>
        <w:t xml:space="preserve"> p_panel_spharm,</w:t>
      </w:r>
      <w:r>
        <w:br/>
      </w:r>
      <w:r>
        <w:rPr>
          <w:rStyle w:val="NormalTok"/>
        </w:rPr>
        <w:t xml:space="preserve">       </w:t>
      </w:r>
      <w:r>
        <w:rPr>
          <w:rStyle w:val="AttributeTok"/>
        </w:rPr>
        <w:t xml:space="preserve">filename =</w:t>
      </w:r>
      <w:r>
        <w:rPr>
          <w:rStyle w:val="NormalTok"/>
        </w:rPr>
        <w:t xml:space="preserve"> </w:t>
      </w:r>
      <w:r>
        <w:rPr>
          <w:rStyle w:val="FunctionTok"/>
        </w:rPr>
        <w:t xml:space="preserve">here</w:t>
      </w:r>
      <w:r>
        <w:rPr>
          <w:rStyle w:val="NormalTok"/>
        </w:rPr>
        <w:t xml:space="preserve">(</w:t>
      </w:r>
      <w:r>
        <w:rPr>
          <w:rStyle w:val="StringTok"/>
        </w:rPr>
        <w:t xml:space="preserve">"analysis/paper/figures/panel_spharm_plots.png"</w:t>
      </w:r>
      <w:r>
        <w:rPr>
          <w:rStyle w:val="NormalTok"/>
        </w:rPr>
        <w:t xml:space="preserve">),</w:t>
      </w:r>
      <w:r>
        <w:br/>
      </w:r>
      <w:r>
        <w:rPr>
          <w:rStyle w:val="NormalTok"/>
        </w:rPr>
        <w:t xml:space="preserve">       </w:t>
      </w:r>
      <w:r>
        <w:rPr>
          <w:rStyle w:val="AttributeTok"/>
        </w:rPr>
        <w:t xml:space="preserve">h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w =</w:t>
      </w:r>
      <w:r>
        <w:rPr>
          <w:rStyle w:val="NormalTok"/>
        </w:rPr>
        <w:t xml:space="preserve"> </w:t>
      </w:r>
      <w:r>
        <w:rPr>
          <w:rStyle w:val="DecValTok"/>
        </w:rPr>
        <w:t xml:space="preserve">9</w:t>
      </w:r>
      <w:r>
        <w:rPr>
          <w:rStyle w:val="NormalTok"/>
        </w:rPr>
        <w:t xml:space="preserve">)</w:t>
      </w:r>
      <w:r>
        <w:br/>
      </w:r>
      <w:r>
        <w:br/>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FunctionTok"/>
        </w:rPr>
        <w:t xml:space="preserve">here</w:t>
      </w:r>
      <w:r>
        <w:rPr>
          <w:rStyle w:val="NormalTok"/>
        </w:rPr>
        <w:t xml:space="preserve">(</w:t>
      </w:r>
      <w:r>
        <w:rPr>
          <w:rStyle w:val="StringTok"/>
        </w:rPr>
        <w:t xml:space="preserve">"analysis/paper/figures/panel_spharm_plots.png"</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 w:name="fig-sp-summary"/>
          <w:p>
            <w:pPr>
              <w:pStyle w:val="Compact"/>
              <w:jc w:val="center"/>
            </w:pPr>
            <w:r>
              <w:drawing>
                <wp:inline>
                  <wp:extent cx="5943600" cy="5283200"/>
                  <wp:effectExtent b="0" l="0" r="0" t="0"/>
                  <wp:docPr descr="" title="" id="55" name="Picture"/>
                  <a:graphic>
                    <a:graphicData uri="http://schemas.openxmlformats.org/drawingml/2006/picture">
                      <pic:pic>
                        <pic:nvPicPr>
                          <pic:cNvPr descr="figures/panel_spharm_plots.png" id="56" name="Picture"/>
                          <pic:cNvPicPr>
                            <a:picLocks noChangeArrowheads="1" noChangeAspect="1"/>
                          </pic:cNvPicPr>
                        </pic:nvPicPr>
                        <pic:blipFill>
                          <a:blip r:embed="rId54"/>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SPHARM power and sphericity by artefact type. D. Correlation of sphericity and spherical harmonic energy</w:t>
            </w:r>
          </w:p>
          <w:bookmarkEnd w:id="57"/>
        </w:tc>
      </w:tr>
    </w:tbl>
    <w:p>
      <w:pPr>
        <w:pStyle w:val="BodyText"/>
      </w:pPr>
      <w:hyperlink w:anchor="fig-sp-summary">
        <w:r>
          <w:rPr>
            <w:rStyle w:val="Hyperlink"/>
          </w:rPr>
          <w:t xml:space="preserve">Figure 5</w:t>
        </w:r>
      </w:hyperlink>
    </w:p>
    <w:tbl>
      <w:tblPr>
        <w:tblStyle w:val="Table"/>
        <w:tblW w:type="pct" w:w="5000"/>
        <w:tblLook w:firstRow="0" w:lastRow="0" w:firstColumn="0" w:lastColumn="0" w:noHBand="0" w:noVBand="0" w:val="0000"/>
        <w:jc w:val="start"/>
        <w:tblLayout w:type="fixed"/>
      </w:tblPr>
      <w:tblGrid>
        <w:gridCol w:w="7920"/>
      </w:tblGrid>
      <w:tr>
        <w:tc>
          <w:tcPr/>
          <w:bookmarkStart w:id="61" w:name="fig-SPHARM-Reconstruction-by-Degree"/>
          <w:p>
            <w:pPr>
              <w:pStyle w:val="Compact"/>
              <w:jc w:val="center"/>
            </w:pPr>
            <w:r>
              <w:drawing>
                <wp:inline>
                  <wp:extent cx="5943600" cy="3962865"/>
                  <wp:effectExtent b="0" l="0" r="0" t="0"/>
                  <wp:docPr descr="" title="" id="59" name="Picture"/>
                  <a:graphic>
                    <a:graphicData uri="http://schemas.openxmlformats.org/drawingml/2006/picture">
                      <pic:pic>
                        <pic:nvPicPr>
                          <pic:cNvPr descr="figures/SPHARM_reconstruction.png" id="60" name="Picture"/>
                          <pic:cNvPicPr>
                            <a:picLocks noChangeArrowheads="1" noChangeAspect="1"/>
                          </pic:cNvPicPr>
                        </pic:nvPicPr>
                        <pic:blipFill>
                          <a:blip r:embed="rId5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Shape reconstruction of archaeological spheroids using SPHARM (various lmax levels)</w:t>
            </w:r>
          </w:p>
          <w:bookmarkEnd w:id="61"/>
        </w:tc>
      </w:tr>
    </w:tbl>
    <w:tbl>
      <w:tblPr>
        <w:tblStyle w:val="Table"/>
        <w:tblW w:type="pct" w:w="5000"/>
        <w:tblLook w:firstRow="0" w:lastRow="0" w:firstColumn="0" w:lastColumn="0" w:noHBand="0" w:noVBand="0" w:val="0000"/>
        <w:jc w:val="start"/>
        <w:tblLayout w:type="fixed"/>
      </w:tblPr>
      <w:tblGrid>
        <w:gridCol w:w="7920"/>
      </w:tblGrid>
      <w:tr>
        <w:tc>
          <w:tcPr/>
          <w:bookmarkStart w:id="65" w:name="fig-UMAP-SPHARM-clusters"/>
          <w:p>
            <w:pPr>
              <w:pStyle w:val="Compact"/>
              <w:jc w:val="center"/>
            </w:pPr>
            <w:r>
              <w:drawing>
                <wp:inline>
                  <wp:extent cx="5943600" cy="3465236"/>
                  <wp:effectExtent b="0" l="0" r="0" t="0"/>
                  <wp:docPr descr="" title="" id="63" name="Picture"/>
                  <a:graphic>
                    <a:graphicData uri="http://schemas.openxmlformats.org/drawingml/2006/picture">
                      <pic:pic>
                        <pic:nvPicPr>
                          <pic:cNvPr descr="figures/UMAP_SPHARM_clusters.png" id="64" name="Picture"/>
                          <pic:cNvPicPr>
                            <a:picLocks noChangeArrowheads="1" noChangeAspect="1"/>
                          </pic:cNvPicPr>
                        </pic:nvPicPr>
                        <pic:blipFill>
                          <a:blip r:embed="rId62"/>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UMAP plot showing distinct clusters of shapes derived from SPHARM</w:t>
            </w:r>
          </w:p>
          <w:bookmarkEnd w:id="65"/>
        </w:tc>
      </w:tr>
    </w:tbl>
    <w:tbl>
      <w:tblPr>
        <w:tblStyle w:val="Table"/>
        <w:tblW w:type="pct" w:w="5000"/>
        <w:tblLook w:firstRow="0" w:lastRow="0" w:firstColumn="0" w:lastColumn="0" w:noHBand="0" w:noVBand="0" w:val="0000"/>
        <w:jc w:val="start"/>
        <w:tblLayout w:type="fixed"/>
      </w:tblPr>
      <w:tblGrid>
        <w:gridCol w:w="7920"/>
      </w:tblGrid>
      <w:tr>
        <w:tc>
          <w:tcPr/>
          <w:bookmarkStart w:id="69" w:name="fig-UMAP-SPHARM-samples"/>
          <w:p>
            <w:pPr>
              <w:pStyle w:val="Compact"/>
              <w:jc w:val="center"/>
            </w:pPr>
            <w:r>
              <w:drawing>
                <wp:inline>
                  <wp:extent cx="5943600" cy="3465236"/>
                  <wp:effectExtent b="0" l="0" r="0" t="0"/>
                  <wp:docPr descr="" title="" id="67" name="Picture"/>
                  <a:graphic>
                    <a:graphicData uri="http://schemas.openxmlformats.org/drawingml/2006/picture">
                      <pic:pic>
                        <pic:nvPicPr>
                          <pic:cNvPr descr="figures/UMAP_SPHARM_samples.png" id="68" name="Picture"/>
                          <pic:cNvPicPr>
                            <a:picLocks noChangeArrowheads="1" noChangeAspect="1"/>
                          </pic:cNvPicPr>
                        </pic:nvPicPr>
                        <pic:blipFill>
                          <a:blip r:embed="rId66"/>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UMAP plot of SPHARM-derived shape features colored by types</w:t>
            </w:r>
          </w:p>
          <w:bookmarkEnd w:id="69"/>
        </w:tc>
      </w:tr>
    </w:tbl>
    <w:tbl>
      <w:tblPr>
        <w:tblStyle w:val="Table"/>
        <w:tblW w:type="pct" w:w="5000"/>
        <w:tblLook w:firstRow="0" w:lastRow="0" w:firstColumn="0" w:lastColumn="0" w:noHBand="0" w:noVBand="0" w:val="0000"/>
        <w:jc w:val="start"/>
        <w:tblLayout w:type="fixed"/>
      </w:tblPr>
      <w:tblGrid>
        <w:gridCol w:w="7920"/>
      </w:tblGrid>
      <w:tr>
        <w:tc>
          <w:tcPr/>
          <w:bookmarkStart w:id="73" w:name="fig-Correlation-SPHARMpower-Sphericity"/>
          <w:p>
            <w:pPr>
              <w:pStyle w:val="Compact"/>
              <w:jc w:val="center"/>
            </w:pPr>
            <w:r>
              <w:drawing>
                <wp:inline>
                  <wp:extent cx="5943600" cy="4120073"/>
                  <wp:effectExtent b="0" l="0" r="0" t="0"/>
                  <wp:docPr descr="" title="" id="71" name="Picture"/>
                  <a:graphic>
                    <a:graphicData uri="http://schemas.openxmlformats.org/drawingml/2006/picture">
                      <pic:pic>
                        <pic:nvPicPr>
                          <pic:cNvPr descr="figures/Correlation_SPHARMpower_Sphericity.png" id="72" name="Picture"/>
                          <pic:cNvPicPr>
                            <a:picLocks noChangeArrowheads="1" noChangeAspect="1"/>
                          </pic:cNvPicPr>
                        </pic:nvPicPr>
                        <pic:blipFill>
                          <a:blip r:embed="rId70"/>
                          <a:stretch>
                            <a:fillRect/>
                          </a:stretch>
                        </pic:blipFill>
                        <pic:spPr bwMode="auto">
                          <a:xfrm>
                            <a:off x="0" y="0"/>
                            <a:ext cx="5943600" cy="4120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Correlation analysis between SPHARMpower and Sphericity</w:t>
            </w:r>
          </w:p>
          <w:bookmarkEnd w:id="73"/>
        </w:tc>
      </w:tr>
    </w:tbl>
    <w:p>
      <w:pPr>
        <w:pStyle w:val="BodyText"/>
      </w:pPr>
      <w:r>
        <w:t xml:space="preserve">We calculated the spherical sphericity and spherical harmonic energy (SHE)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2</w:t>
        </w:r>
      </w:hyperlink>
      <w:r>
        <w:t xml:space="preserve">.</w:t>
      </w:r>
    </w:p>
    <w:p>
      <w:pPr>
        <w:pStyle w:val="BodyText"/>
      </w:pPr>
      <w:r>
        <w:t xml:space="preserve">Our results of sphericity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6</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spheroids, multifacial cores, polyhedrons,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low-order terms capture the most significant shape variation. Specifically, l=2 reflects global asymmetries, such as elongation or flattening, while degree 3 is more sensitive to localized features like curvature and edge protrusions.</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7</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8</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 (</w:t>
      </w:r>
      <w:hyperlink w:anchor="fig-Correlation-SPHARMpower-Sphericity">
        <w:r>
          <w:rPr>
            <w:rStyle w:val="Hyperlink"/>
          </w:rPr>
          <w:t xml:space="preserve">Figure 9</w:t>
        </w:r>
      </w:hyperlink>
      <w:r>
        <w:t xml:space="preserve">).</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74"/>
    <w:bookmarkStart w:id="87"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11</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12</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10</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78" w:name="fig-benn-ternary-plot"/>
          <w:p>
            <w:pPr>
              <w:pStyle w:val="Compact"/>
              <w:jc w:val="center"/>
            </w:pPr>
            <w:r>
              <w:drawing>
                <wp:inline>
                  <wp:extent cx="5943600" cy="4754880"/>
                  <wp:effectExtent b="0" l="0" r="0" t="0"/>
                  <wp:docPr descr="" title="" id="76" name="Picture"/>
                  <a:graphic>
                    <a:graphicData uri="http://schemas.openxmlformats.org/drawingml/2006/picture">
                      <pic:pic>
                        <pic:nvPicPr>
                          <pic:cNvPr descr="paper_files/figure-docx/fig-benn-ternary-plot-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Ternary plot showing flake scar orientation analysis</w:t>
            </w:r>
          </w:p>
          <w:bookmarkEnd w:id="78"/>
        </w:tc>
      </w:tr>
    </w:tbl>
    <w:tbl>
      <w:tblPr>
        <w:tblStyle w:val="Table"/>
        <w:tblW w:type="pct" w:w="5000"/>
        <w:tblLook w:firstRow="0" w:lastRow="0" w:firstColumn="0" w:lastColumn="0" w:noHBand="0" w:noVBand="0" w:val="0000"/>
        <w:jc w:val="start"/>
        <w:tblLayout w:type="fixed"/>
      </w:tblPr>
      <w:tblGrid>
        <w:gridCol w:w="7920"/>
      </w:tblGrid>
      <w:tr>
        <w:tc>
          <w:tcPr/>
          <w:bookmarkStart w:id="82" w:name="fig-spheroids-2797-1098"/>
          <w:p>
            <w:pPr>
              <w:pStyle w:val="Compact"/>
              <w:jc w:val="center"/>
            </w:pPr>
            <w:r>
              <w:drawing>
                <wp:inline>
                  <wp:extent cx="5943600" cy="3962865"/>
                  <wp:effectExtent b="0" l="0" r="0" t="0"/>
                  <wp:docPr descr="" title="" id="80" name="Picture"/>
                  <a:graphic>
                    <a:graphicData uri="http://schemas.openxmlformats.org/drawingml/2006/picture">
                      <pic:pic>
                        <pic:nvPicPr>
                          <pic:cNvPr descr="figures/spheroids_2797_1098.png" id="81" name="Picture"/>
                          <pic:cNvPicPr>
                            <a:picLocks noChangeArrowheads="1" noChangeAspect="1"/>
                          </pic:cNvPicPr>
                        </pic:nvPicPr>
                        <pic:blipFill>
                          <a:blip r:embed="rId79"/>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Diacritical analysis of Qianshangying spheroids</w:t>
            </w:r>
          </w:p>
          <w:bookmarkEnd w:id="82"/>
        </w:tc>
      </w:tr>
    </w:tbl>
    <w:tbl>
      <w:tblPr>
        <w:tblStyle w:val="Table"/>
        <w:tblW w:type="pct" w:w="5000"/>
        <w:tblLook w:firstRow="0" w:lastRow="0" w:firstColumn="0" w:lastColumn="0" w:noHBand="0" w:noVBand="0" w:val="0000"/>
        <w:jc w:val="start"/>
        <w:tblLayout w:type="fixed"/>
      </w:tblPr>
      <w:tblGrid>
        <w:gridCol w:w="7920"/>
      </w:tblGrid>
      <w:tr>
        <w:tc>
          <w:tcPr/>
          <w:bookmarkStart w:id="86" w:name="fig-shaping-process"/>
          <w:p>
            <w:pPr>
              <w:pStyle w:val="Compact"/>
              <w:jc w:val="center"/>
            </w:pPr>
            <w:r>
              <w:drawing>
                <wp:inline>
                  <wp:extent cx="5943600" cy="2994165"/>
                  <wp:effectExtent b="0" l="0" r="0" t="0"/>
                  <wp:docPr descr="" title="" id="84" name="Picture"/>
                  <a:graphic>
                    <a:graphicData uri="http://schemas.openxmlformats.org/drawingml/2006/picture">
                      <pic:pic>
                        <pic:nvPicPr>
                          <pic:cNvPr descr="figures/shaping_process.png" id="85" name="Picture"/>
                          <pic:cNvPicPr>
                            <a:picLocks noChangeArrowheads="1" noChangeAspect="1"/>
                          </pic:cNvPicPr>
                        </pic:nvPicPr>
                        <pic:blipFill>
                          <a:blip r:embed="rId83"/>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hypothesis of QSY spheroid shaping process</w:t>
            </w:r>
          </w:p>
          <w:bookmarkEnd w:id="86"/>
        </w:tc>
      </w:tr>
    </w:tbl>
    <w:bookmarkEnd w:id="87"/>
    <w:bookmarkStart w:id="93"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88" w:name="tbl-2"/>
          <w:p>
            <w:pPr>
              <w:jc w:val="center"/>
            </w:pPr>
            <w:pPr>
              <w:jc w:val="start"/>
              <w:spacing w:before="200"/>
              <w:pStyle w:val="ImageCaption"/>
            </w:pPr>
            <w:r>
              <w:t xml:space="preserve">Table 3: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88"/>
          <w:p/>
        </w:tc>
      </w:tr>
    </w:tbl>
    <w:tbl>
      <w:tblPr>
        <w:tblStyle w:val="Table"/>
        <w:tblW w:type="pct" w:w="5000"/>
        <w:tblLook w:firstRow="0" w:lastRow="0" w:firstColumn="0" w:lastColumn="0" w:noHBand="0" w:noVBand="0" w:val="0000"/>
        <w:jc w:val="start"/>
        <w:tblLayout w:type="fixed"/>
      </w:tblPr>
      <w:tblGrid>
        <w:gridCol w:w="7920"/>
      </w:tblGrid>
      <w:tr>
        <w:tc>
          <w:tcPr/>
          <w:bookmarkStart w:id="92" w:name="fig-spearman-correlation-matrix"/>
          <w:p>
            <w:pPr>
              <w:pStyle w:val="Compact"/>
              <w:jc w:val="center"/>
            </w:pPr>
            <w:r>
              <w:drawing>
                <wp:inline>
                  <wp:extent cx="5943600" cy="4754880"/>
                  <wp:effectExtent b="0" l="0" r="0" t="0"/>
                  <wp:docPr descr="" title="" id="90" name="Picture"/>
                  <a:graphic>
                    <a:graphicData uri="http://schemas.openxmlformats.org/drawingml/2006/picture">
                      <pic:pic>
                        <pic:nvPicPr>
                          <pic:cNvPr descr="paper_files/figure-docx/fig-spearman-correlation-matrix-1.png" id="91" name="Picture"/>
                          <pic:cNvPicPr>
                            <a:picLocks noChangeArrowheads="1" noChangeAspect="1"/>
                          </pic:cNvPicPr>
                        </pic:nvPicPr>
                        <pic:blipFill>
                          <a:blip r:embed="rId8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Spearman correlation matrix of shape variables. Red star indicates p &lt; 0.05</w:t>
            </w:r>
          </w:p>
          <w:bookmarkEnd w:id="92"/>
        </w:tc>
      </w:tr>
    </w:tbl>
    <w:p>
      <w:pPr>
        <w:pStyle w:val="BodyText"/>
      </w:pPr>
      <w:hyperlink w:anchor="fig-spearman-correlation-matrix">
        <w:r>
          <w:rPr>
            <w:rStyle w:val="Hyperlink"/>
          </w:rPr>
          <w:t xml:space="preserve">Figure 13</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93"/>
    <w:bookmarkEnd w:id="94"/>
    <w:bookmarkStart w:id="96" w:name="discussion"/>
    <w:p>
      <w:pPr>
        <w:pStyle w:val="Heading1"/>
      </w:pPr>
      <w:r>
        <w:t xml:space="preserve">Discussion</w:t>
      </w:r>
    </w:p>
    <w:bookmarkStart w:id="95"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12</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3</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r>
        <w:t xml:space="preserve"> </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95"/>
    <w:bookmarkEnd w:id="96"/>
    <w:bookmarkStart w:id="97"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Cs/>
          <w:b/>
        </w:rPr>
        <w:t xml:space="preserve">hallinan2025?</w:t>
      </w:r>
      <w:r>
        <w:t xml:space="preserve">;</w:t>
      </w:r>
      <w:r>
        <w:t xml:space="preserve"> </w:t>
      </w:r>
      <w:r>
        <w:rPr>
          <w:bCs/>
          <w:b/>
        </w:rPr>
        <w:t xml:space="preserve">cao2025?</w:t>
      </w:r>
      <w:r>
        <w:t xml:space="preserve">;</w:t>
      </w:r>
      <w:r>
        <w:t xml:space="preserve"> </w:t>
      </w:r>
      <w:r>
        <w:rPr>
          <w:bCs/>
          <w:b/>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97"/>
    <w:bookmarkStart w:id="203" w:name="references"/>
    <w:p>
      <w:pPr>
        <w:pStyle w:val="Heading1"/>
      </w:pPr>
      <w:r>
        <w:t xml:space="preserve">References</w:t>
      </w:r>
    </w:p>
    <w:bookmarkStart w:id="201" w:name="refs"/>
    <w:bookmarkStart w:id="98" w:name="ref-Van2023"/>
    <w:p>
      <w:pPr>
        <w:pStyle w:val="Bibliography"/>
      </w:pPr>
      <w:r>
        <w:t xml:space="preserve">Bavel, C. van, Thiels, W., Jelier, R., 2023. Cell shape characterization, alignment, and comparison using FlowShape. Bioinformatics 39, btad383.</w:t>
      </w:r>
    </w:p>
    <w:bookmarkEnd w:id="98"/>
    <w:bookmarkStart w:id="100"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9">
        <w:r>
          <w:rPr>
            <w:rStyle w:val="Hyperlink"/>
          </w:rPr>
          <w:t xml:space="preserve">https://doi.org/10.1073/pnas.1221285110</w:t>
        </w:r>
      </w:hyperlink>
    </w:p>
    <w:bookmarkEnd w:id="100"/>
    <w:bookmarkStart w:id="102"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1">
        <w:r>
          <w:rPr>
            <w:rStyle w:val="Hyperlink"/>
          </w:rPr>
          <w:t xml:space="preserve">https://doi.org/10.1073/pnas.1820177116</w:t>
        </w:r>
      </w:hyperlink>
    </w:p>
    <w:bookmarkEnd w:id="102"/>
    <w:bookmarkStart w:id="104"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3">
        <w:r>
          <w:rPr>
            <w:rStyle w:val="Hyperlink"/>
          </w:rPr>
          <w:t xml:space="preserve">https://doi.org/10.1007/s41982-024-00195-x</w:t>
        </w:r>
      </w:hyperlink>
    </w:p>
    <w:bookmarkEnd w:id="104"/>
    <w:bookmarkStart w:id="105"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5"/>
    <w:bookmarkStart w:id="106"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6"/>
    <w:bookmarkStart w:id="107" w:name="ref-Dai1973Lantian"/>
    <w:p>
      <w:pPr>
        <w:pStyle w:val="Bibliography"/>
      </w:pPr>
      <w:r>
        <w:t xml:space="preserve">Dai, E., Xu, C., 1973. New paleolithic materials and the lantian man culture. Kaogu Xuebao (Acta Archaeologica Sinica) 14.</w:t>
      </w:r>
    </w:p>
    <w:bookmarkEnd w:id="107"/>
    <w:bookmarkStart w:id="109" w:name="ref-delatorre2004"/>
    <w:p>
      <w:pPr>
        <w:pStyle w:val="Bibliography"/>
      </w:pPr>
      <w:r>
        <w:t xml:space="preserve">De La Torre, I., 2004. Omo Revisited: Evaluating the Technological Skills of Pliocene Hominids. Current Anthropology 45, 439–465.</w:t>
      </w:r>
      <w:r>
        <w:t xml:space="preserve"> </w:t>
      </w:r>
      <w:hyperlink r:id="rId108">
        <w:r>
          <w:rPr>
            <w:rStyle w:val="Hyperlink"/>
          </w:rPr>
          <w:t xml:space="preserve">https://doi.org/10.1086/422079</w:t>
        </w:r>
      </w:hyperlink>
    </w:p>
    <w:bookmarkEnd w:id="109"/>
    <w:bookmarkStart w:id="111" w:name="ref-deweyer2017"/>
    <w:p>
      <w:pPr>
        <w:pStyle w:val="Bibliography"/>
      </w:pPr>
      <w:r>
        <w:t xml:space="preserve">De Weyer, L., 2017. An Early Stone Age in Western Africa? Spheroids and polyhedrons at Ounjougou, Mali. Journal of Lithic Studies 4.</w:t>
      </w:r>
      <w:r>
        <w:t xml:space="preserve"> </w:t>
      </w:r>
      <w:hyperlink r:id="rId110">
        <w:r>
          <w:rPr>
            <w:rStyle w:val="Hyperlink"/>
          </w:rPr>
          <w:t xml:space="preserve">https://doi.org/10.2218/jls.v4i1.1682</w:t>
        </w:r>
      </w:hyperlink>
    </w:p>
    <w:bookmarkEnd w:id="111"/>
    <w:bookmarkStart w:id="112" w:name="ref-duke2021"/>
    <w:p>
      <w:pPr>
        <w:pStyle w:val="Bibliography"/>
      </w:pPr>
      <w:r>
        <w:t xml:space="preserve">Duke, H., Feibel, C., Harmand, S., 2021. Before the acheulean: The emergence of bifacial shaping at kokiselei 6 (1.8 ma), west turkana, kenya. Journal of Human Evolution 159, 103061.</w:t>
      </w:r>
    </w:p>
    <w:bookmarkEnd w:id="112"/>
    <w:bookmarkStart w:id="114"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3">
        <w:r>
          <w:rPr>
            <w:rStyle w:val="Hyperlink"/>
          </w:rPr>
          <w:t xml:space="preserve">https://doi.org/10.2307/2694247</w:t>
        </w:r>
      </w:hyperlink>
    </w:p>
    <w:bookmarkEnd w:id="114"/>
    <w:bookmarkStart w:id="115" w:name="ref-Fang2002"/>
    <w:p>
      <w:pPr>
        <w:pStyle w:val="Bibliography"/>
      </w:pPr>
      <w:r>
        <w:t xml:space="preserve">Fang, Y., Wang, J., Liang, R., Wang, J., Zhai, Z., Yang, C., 2002. Paleolithic artifacts discovered at fangniushan, jurong county, jiangsu province. Acta Anthropologica Sinica 21, 41–49.</w:t>
      </w:r>
    </w:p>
    <w:bookmarkEnd w:id="115"/>
    <w:bookmarkStart w:id="116" w:name="ref-gallotti2018emergence"/>
    <w:p>
      <w:pPr>
        <w:pStyle w:val="Bibliography"/>
      </w:pPr>
      <w:r>
        <w:t xml:space="preserve">Gallotti, R., Mussi, M., others, 2018. The emergence of the acheulean in east africa and beyond. Speringer, Cham.</w:t>
      </w:r>
    </w:p>
    <w:bookmarkEnd w:id="116"/>
    <w:bookmarkStart w:id="118" w:name="ref-Grieb2022"/>
    <w:p>
      <w:pPr>
        <w:pStyle w:val="Bibliography"/>
      </w:pPr>
      <w:r>
        <w:t xml:space="preserve">Grieb, J., Barbero-García, I., Lerma, J.L., 2022. Spherical harmonics to quantify cranial asymmetry in deformational plagiocephaly. Scientific Reports 12, 167.</w:t>
      </w:r>
      <w:r>
        <w:t xml:space="preserve"> </w:t>
      </w:r>
      <w:hyperlink r:id="rId117">
        <w:r>
          <w:rPr>
            <w:rStyle w:val="Hyperlink"/>
          </w:rPr>
          <w:t xml:space="preserve">https://doi.org/10.1038/s41598-021-04181-z</w:t>
        </w:r>
      </w:hyperlink>
    </w:p>
    <w:bookmarkEnd w:id="118"/>
    <w:bookmarkStart w:id="119" w:name="ref-Harper2022"/>
    <w:p>
      <w:pPr>
        <w:pStyle w:val="Bibliography"/>
      </w:pPr>
      <w:r>
        <w:t xml:space="preserve">Harper, C.M., Goldstein, D.M., Sylvester, A.D., 2022. Comparing and combining sliding semilandmarks and weighted spherical harmonics for shape analysis. Journal of anatomy 240, 678–687.</w:t>
      </w:r>
    </w:p>
    <w:bookmarkEnd w:id="119"/>
    <w:bookmarkStart w:id="121"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0">
        <w:r>
          <w:rPr>
            <w:rStyle w:val="Hyperlink"/>
          </w:rPr>
          <w:t xml:space="preserve">https://doi.org/10.1242/dev.202251</w:t>
        </w:r>
      </w:hyperlink>
    </w:p>
    <w:bookmarkEnd w:id="121"/>
    <w:bookmarkStart w:id="122" w:name="ref-Huang1964Sanmenxia"/>
    <w:p>
      <w:pPr>
        <w:pStyle w:val="Bibliography"/>
      </w:pPr>
      <w:r>
        <w:t xml:space="preserve">Huang, W., 1964. Paleolithic artifacts from the sanmenxia region in western henan. Vertebrata PalAsiatica 66–85.</w:t>
      </w:r>
    </w:p>
    <w:bookmarkEnd w:id="122"/>
    <w:bookmarkStart w:id="123" w:name="ref-inizan1999"/>
    <w:p>
      <w:pPr>
        <w:pStyle w:val="Bibliography"/>
      </w:pPr>
      <w:r>
        <w:t xml:space="preserve">Inizan, M.-L., Reduron-Ballinger, M., Roche, H., 1999. Technology and terminology of knapped stone, 5th ed. Cercle de Recherches et d’Études Préhistoriques, Nanterre.</w:t>
      </w:r>
    </w:p>
    <w:bookmarkEnd w:id="123"/>
    <w:bookmarkStart w:id="124"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4"/>
    <w:bookmarkStart w:id="125" w:name="ref-isaac1986foundation"/>
    <w:p>
      <w:pPr>
        <w:pStyle w:val="Bibliography"/>
      </w:pPr>
      <w:r>
        <w:t xml:space="preserve">Isaac, Glynn L., 1986. Foundation stones: Early artefacts as indicators of activities and abilities. Stone Age prehistory: studies in memory of Charles McBurney 221–241.</w:t>
      </w:r>
    </w:p>
    <w:bookmarkEnd w:id="125"/>
    <w:bookmarkStart w:id="126"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26"/>
    <w:bookmarkStart w:id="127" w:name="ref-Jia1962Kehe"/>
    <w:p>
      <w:pPr>
        <w:pStyle w:val="Bibliography"/>
      </w:pPr>
      <w:r>
        <w:t xml:space="preserve">Jia, L., 1962. Kehe: An early paleolithic cultural site in southwestern shanxi. Science Press.</w:t>
      </w:r>
    </w:p>
    <w:bookmarkEnd w:id="127"/>
    <w:bookmarkStart w:id="128" w:name="ref-Jia1959Xigou"/>
    <w:p>
      <w:pPr>
        <w:pStyle w:val="Bibliography"/>
      </w:pPr>
      <w:r>
        <w:t xml:space="preserve">Jia, L., 1959. A paleolithic cultural site at xigou, licun, quwo county, shanxi province. Kaogu (Archaeology) 6.</w:t>
      </w:r>
    </w:p>
    <w:bookmarkEnd w:id="128"/>
    <w:bookmarkStart w:id="129" w:name="ref-Jia1976Xujayao"/>
    <w:p>
      <w:pPr>
        <w:pStyle w:val="Bibliography"/>
      </w:pPr>
      <w:r>
        <w:t xml:space="preserve">Jia, L., Wei, Q., 1976. The paleolithic cultural site of xujayao, yanggao. Kaogu Xuebao (Acta Archaeologica Sinica) 24.</w:t>
      </w:r>
    </w:p>
    <w:bookmarkEnd w:id="129"/>
    <w:bookmarkStart w:id="130" w:name="ref-Jia1979Xujayao"/>
    <w:p>
      <w:pPr>
        <w:pStyle w:val="Bibliography"/>
      </w:pPr>
      <w:r>
        <w:t xml:space="preserve">Jia, L., Wei, Q., Li, C., 1979. Excavation report of the xujayao paleolithic cultural site in 1976. Vertebrata PalAsiatica 17–33, 87–90.</w:t>
      </w:r>
    </w:p>
    <w:bookmarkEnd w:id="130"/>
    <w:bookmarkStart w:id="131" w:name="ref-jones1994"/>
    <w:p>
      <w:pPr>
        <w:pStyle w:val="Bibliography"/>
      </w:pPr>
      <w:r>
        <w:t xml:space="preserve">Jones, P.R., others, 1994. Results of experimental work in relation to the stone industries of olduvai gorge. Olduvai gorge 5, 1968–1971.</w:t>
      </w:r>
    </w:p>
    <w:bookmarkEnd w:id="131"/>
    <w:bookmarkStart w:id="132"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2"/>
    <w:bookmarkStart w:id="133" w:name="ref-leakey1979"/>
    <w:p>
      <w:pPr>
        <w:pStyle w:val="Bibliography"/>
      </w:pPr>
      <w:r>
        <w:t xml:space="preserve">Leakey, M.D., 1979. Olduvai gorge: My search for early man. William Collins, London.</w:t>
      </w:r>
    </w:p>
    <w:bookmarkEnd w:id="133"/>
    <w:bookmarkStart w:id="134" w:name="ref-leakey1971"/>
    <w:p>
      <w:pPr>
        <w:pStyle w:val="Bibliography"/>
      </w:pPr>
      <w:r>
        <w:t xml:space="preserve">Leakey, M.D., 1971. Olduvai gorge, vol. 3: Excavations in beds i and II, 1960–1963. Cambridge University Press, Cambridge.</w:t>
      </w:r>
    </w:p>
    <w:bookmarkEnd w:id="134"/>
    <w:bookmarkStart w:id="135" w:name="ref-Li1991"/>
    <w:p>
      <w:pPr>
        <w:pStyle w:val="Bibliography"/>
      </w:pPr>
      <w:r>
        <w:t xml:space="preserve">Li, C., Xu, C., 1991. Paleolithic artifacts discovered at the liao river in anyi, jiangxi, and their significance. Acta Anthropologica Sinica 10, 8.</w:t>
      </w:r>
    </w:p>
    <w:bookmarkEnd w:id="135"/>
    <w:bookmarkStart w:id="136" w:name="ref-li2000"/>
    <w:p>
      <w:pPr>
        <w:pStyle w:val="Bibliography"/>
      </w:pPr>
      <w:r>
        <w:t xml:space="preserve">Li, R., Qiao, J., Qiu, W., Zhai, Q., Li, Y., 2000. Soluble salt deposit in the nihewan beds and its environmental significance. Science in China Series D: Earth Sciences 43, 464–479.</w:t>
      </w:r>
    </w:p>
    <w:bookmarkEnd w:id="136"/>
    <w:bookmarkStart w:id="137" w:name="ref-lin2024"/>
    <w:p>
      <w:pPr>
        <w:pStyle w:val="Bibliography"/>
      </w:pPr>
      <w:r>
        <w:t xml:space="preserve">Lin, S.C., 2024. A new method for quantifying flake scar organisation on cores using orientation statistics. Journal of Archaeological Science.</w:t>
      </w:r>
    </w:p>
    <w:bookmarkEnd w:id="137"/>
    <w:bookmarkStart w:id="138"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8"/>
    <w:bookmarkStart w:id="139" w:name="ref-Liu1984Jingchuan"/>
    <w:p>
      <w:pPr>
        <w:pStyle w:val="Bibliography"/>
      </w:pPr>
      <w:r>
        <w:t xml:space="preserve">Liu, Y., Huang, W., Lin, Y., 1984. Human fossils and paleolithic artifacts discovered in jingchuan, gansu province. Acta Anthropologica Sinica 11.</w:t>
      </w:r>
    </w:p>
    <w:bookmarkEnd w:id="139"/>
    <w:bookmarkStart w:id="140" w:name="ref-LixianMuseum1992"/>
    <w:p>
      <w:pPr>
        <w:pStyle w:val="Bibliography"/>
      </w:pPr>
      <w:r>
        <w:t xml:space="preserve">Lixian County Museum, 1992. A brief report on the paleolithic localities at zhangjiatan and xiangong in lixian, hunan province. Huaxia Archaeology 8.</w:t>
      </w:r>
    </w:p>
    <w:bookmarkEnd w:id="140"/>
    <w:bookmarkStart w:id="141" w:name="ref-Lu2021Spheroids"/>
    <w:p>
      <w:pPr>
        <w:pStyle w:val="Bibliography"/>
      </w:pPr>
      <w:r>
        <w:t xml:space="preserve">Lu, L., Dong, B., Chen, S., 2021. An experimental study on stone spheroids from the paleolithic period in china. Acta Anthropologica Sinica 40, 13.</w:t>
      </w:r>
    </w:p>
    <w:bookmarkEnd w:id="141"/>
    <w:bookmarkStart w:id="142"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42"/>
    <w:bookmarkStart w:id="143" w:name="ref-Ma2011Xujayao"/>
    <w:p>
      <w:pPr>
        <w:pStyle w:val="Bibliography"/>
      </w:pPr>
      <w:r>
        <w:t xml:space="preserve">Ma, N., Pei, S., Gao, X., 2011. Study of lithic artifacts excavated from locality 74093 at the xujayao site in 1977. Acta Anthropologica Sinica 30, 14.</w:t>
      </w:r>
    </w:p>
    <w:bookmarkEnd w:id="143"/>
    <w:bookmarkStart w:id="144"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44"/>
    <w:bookmarkStart w:id="146"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45">
        <w:r>
          <w:rPr>
            <w:rStyle w:val="Hyperlink"/>
          </w:rPr>
          <w:t xml:space="preserve">https://doi.org/10.1016/j.jaa.2004.12.001</w:t>
        </w:r>
      </w:hyperlink>
    </w:p>
    <w:bookmarkEnd w:id="146"/>
    <w:bookmarkStart w:id="147"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7"/>
    <w:bookmarkStart w:id="149" w:name="ref-muller2023"/>
    <w:p>
      <w:pPr>
        <w:pStyle w:val="Bibliography"/>
      </w:pPr>
      <w:r>
        <w:t xml:space="preserve">Muller, A., Clarkson, C., 2023. Filling in the blanks: Standardization of lithic flake production throughout the stone age. Lithic Technology 48, 222–236.</w:t>
      </w:r>
      <w:r>
        <w:t xml:space="preserve"> </w:t>
      </w:r>
      <w:hyperlink r:id="rId148">
        <w:r>
          <w:rPr>
            <w:rStyle w:val="Hyperlink"/>
          </w:rPr>
          <w:t xml:space="preserve">https://doi.org/10.1080/01977261.2022.2103290</w:t>
        </w:r>
      </w:hyperlink>
    </w:p>
    <w:bookmarkEnd w:id="149"/>
    <w:bookmarkStart w:id="151"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50">
        <w:r>
          <w:rPr>
            <w:rStyle w:val="Hyperlink"/>
          </w:rPr>
          <w:t xml:space="preserve">https://doi.org/10.1016/j.quaint.2025.109681</w:t>
        </w:r>
      </w:hyperlink>
    </w:p>
    <w:bookmarkEnd w:id="151"/>
    <w:bookmarkStart w:id="152"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52"/>
    <w:bookmarkStart w:id="153"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53"/>
    <w:bookmarkStart w:id="155"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54">
        <w:r>
          <w:rPr>
            <w:rStyle w:val="Hyperlink"/>
          </w:rPr>
          <w:t xml:space="preserve">https://doi.org/10.1016/j.palaeo.2019.05.014</w:t>
        </w:r>
      </w:hyperlink>
    </w:p>
    <w:bookmarkEnd w:id="155"/>
    <w:bookmarkStart w:id="156" w:name="ref-pei2002"/>
    <w:p>
      <w:pPr>
        <w:pStyle w:val="Bibliography"/>
      </w:pPr>
      <w:r>
        <w:t xml:space="preserve">Pei, S., Hou, Y., 2002. Preliminary study on raw materials exploitation at donggutuo site, nihewan basin, north china. Acta Anthropologica Sinica 21, 53–66.</w:t>
      </w:r>
    </w:p>
    <w:bookmarkEnd w:id="156"/>
    <w:bookmarkStart w:id="158"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7">
        <w:r>
          <w:rPr>
            <w:rStyle w:val="Hyperlink"/>
          </w:rPr>
          <w:t xml:space="preserve">https://doi.org/10.1371/journal.pone.0187251</w:t>
        </w:r>
      </w:hyperlink>
    </w:p>
    <w:bookmarkEnd w:id="158"/>
    <w:bookmarkStart w:id="160"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9">
        <w:r>
          <w:rPr>
            <w:rStyle w:val="Hyperlink"/>
          </w:rPr>
          <w:t xml:space="preserve">https://doi.org/10.1006/jasc.1996.0152</w:t>
        </w:r>
      </w:hyperlink>
    </w:p>
    <w:bookmarkEnd w:id="160"/>
    <w:bookmarkStart w:id="161"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61"/>
    <w:bookmarkStart w:id="162" w:name="ref-SXA2014Dingcun"/>
    <w:p>
      <w:pPr>
        <w:pStyle w:val="Bibliography"/>
      </w:pPr>
      <w:r>
        <w:t xml:space="preserve">Shanxi Provincial Institute of Archaeology, 2014. The dingcun paleolithic site complex: Excavation report of the dingcun sites (1976–1980). Cultural Relics Publishing House.</w:t>
      </w:r>
    </w:p>
    <w:bookmarkEnd w:id="162"/>
    <w:bookmarkStart w:id="164" w:name="ref-stout2015"/>
    <w:p>
      <w:pPr>
        <w:pStyle w:val="Bibliography"/>
      </w:pPr>
      <w:r>
        <w:t xml:space="preserve">Stout, D., Hecht, E., Khreisheh, N., Bradley, B., Chaminade, T., 2015. Cognitive Demands of Lower Paleolithic Toolmaking. PLOS ONE 10, e0121804.</w:t>
      </w:r>
      <w:r>
        <w:t xml:space="preserve"> </w:t>
      </w:r>
      <w:hyperlink r:id="rId163">
        <w:r>
          <w:rPr>
            <w:rStyle w:val="Hyperlink"/>
          </w:rPr>
          <w:t xml:space="preserve">https://doi.org/10.1371/journal.pone.0121804</w:t>
        </w:r>
      </w:hyperlink>
    </w:p>
    <w:bookmarkEnd w:id="164"/>
    <w:bookmarkStart w:id="165" w:name="ref-Tan1999"/>
    <w:p>
      <w:pPr>
        <w:pStyle w:val="Bibliography"/>
      </w:pPr>
      <w:r>
        <w:t xml:space="preserve">Tan, Y., 1999. A report on the paleolithic locality on the northern slope of huzhua mountain. Hunan Archaeological Journal 15.</w:t>
      </w:r>
    </w:p>
    <w:bookmarkEnd w:id="165"/>
    <w:bookmarkStart w:id="166" w:name="ref-Tao1984Dingcun"/>
    <w:p>
      <w:pPr>
        <w:pStyle w:val="Bibliography"/>
      </w:pPr>
      <w:r>
        <w:t xml:space="preserve">Tao, F., Liang, Z., Xie, X., Yin, Z., Ding, W., Hu, W., Ding, S., Yang, F., Yin, L., Xie, X., 1984. Excavation report of locality 80:01 at the dingcun paleolithic site. Prehistoric Research 57–68.</w:t>
      </w:r>
    </w:p>
    <w:bookmarkEnd w:id="166"/>
    <w:bookmarkStart w:id="167"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7"/>
    <w:bookmarkStart w:id="169"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8">
        <w:r>
          <w:rPr>
            <w:rStyle w:val="Hyperlink"/>
          </w:rPr>
          <w:t xml:space="preserve">https://doi.org/10.1371/journal.pone.0228290</w:t>
        </w:r>
      </w:hyperlink>
    </w:p>
    <w:bookmarkEnd w:id="169"/>
    <w:bookmarkStart w:id="170" w:name="ref-de2018oldowan"/>
    <w:p>
      <w:pPr>
        <w:pStyle w:val="Bibliography"/>
      </w:pPr>
      <w:r>
        <w:t xml:space="preserve">Torre, I. de la, Mora, R., 2018. Oldowan technological behaviour at HWK EE (olduvai gorge, tanzania). Journal of Human Evolution 120, 236–273.</w:t>
      </w:r>
    </w:p>
    <w:bookmarkEnd w:id="170"/>
    <w:bookmarkStart w:id="172"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71">
        <w:r>
          <w:rPr>
            <w:rStyle w:val="Hyperlink"/>
          </w:rPr>
          <w:t xml:space="preserve">https://doi.org/10.1007/s10816-017-9339-x</w:t>
        </w:r>
      </w:hyperlink>
    </w:p>
    <w:bookmarkEnd w:id="172"/>
    <w:bookmarkStart w:id="174"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73">
        <w:r>
          <w:rPr>
            <w:rStyle w:val="Hyperlink"/>
          </w:rPr>
          <w:t xml:space="preserve">https://doi.org/10.1086/624298</w:t>
        </w:r>
      </w:hyperlink>
    </w:p>
    <w:bookmarkEnd w:id="174"/>
    <w:bookmarkStart w:id="175" w:name="ref-Wang2016Houjiayao"/>
    <w:p>
      <w:pPr>
        <w:pStyle w:val="Bibliography"/>
      </w:pPr>
      <w:r>
        <w:t xml:space="preserve">Wang, F., 2016. Comprehensive study of the houjiayao site (Ph.D. dissertation). Hebei Normal University.</w:t>
      </w:r>
    </w:p>
    <w:bookmarkEnd w:id="175"/>
    <w:bookmarkStart w:id="176" w:name="ref-Wang2000Yaoshi"/>
    <w:p>
      <w:pPr>
        <w:pStyle w:val="Bibliography"/>
      </w:pPr>
      <w:r>
        <w:t xml:space="preserve">Wang, S., Hu, S., 2000. Paleolithic artifacts from the yaoshi basin, upper danjiang river. Kaogu yu Wenwu (Archaeology and Cultural Relics) 7.</w:t>
      </w:r>
    </w:p>
    <w:bookmarkEnd w:id="176"/>
    <w:bookmarkStart w:id="177"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7"/>
    <w:bookmarkStart w:id="178"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8"/>
    <w:bookmarkStart w:id="179" w:name="ref-Wang2010Jinstai"/>
    <w:p>
      <w:pPr>
        <w:pStyle w:val="Bibliography"/>
      </w:pPr>
      <w:r>
        <w:t xml:space="preserve">Wang, X., Wei, J., Chen, Q., Tang, Z., Wang, C., 2010. Excavation report of the jinstai cave site, inner mongolia. Acta Anthropologica Sinica 18.</w:t>
      </w:r>
    </w:p>
    <w:bookmarkEnd w:id="179"/>
    <w:bookmarkStart w:id="180" w:name="ref-Wei1984"/>
    <w:p>
      <w:pPr>
        <w:pStyle w:val="Bibliography"/>
      </w:pPr>
      <w:r>
        <w:t xml:space="preserve">Wei, Q., Huang, W., Zhang, X., 1984. Newly discovered paleolithic artifacts at mujiaqiao, lijiang. Acta Anthropologica Sinica 11.</w:t>
      </w:r>
    </w:p>
    <w:bookmarkEnd w:id="180"/>
    <w:bookmarkStart w:id="182" w:name="ref-willoughby1985"/>
    <w:p>
      <w:pPr>
        <w:pStyle w:val="Bibliography"/>
      </w:pPr>
      <w:r>
        <w:t xml:space="preserve">Willoughby, P.R., 1985. Spheroids and battered stones in the African Early Stone Age. World Archaeology 17, 44–60.</w:t>
      </w:r>
      <w:r>
        <w:t xml:space="preserve"> </w:t>
      </w:r>
      <w:hyperlink r:id="rId181">
        <w:r>
          <w:rPr>
            <w:rStyle w:val="Hyperlink"/>
          </w:rPr>
          <w:t xml:space="preserve">https://doi.org/10.1080/00438243.1985.9979949</w:t>
        </w:r>
      </w:hyperlink>
    </w:p>
    <w:bookmarkEnd w:id="182"/>
    <w:bookmarkStart w:id="183" w:name="ref-Wu1989Dangcheng"/>
    <w:p>
      <w:pPr>
        <w:pStyle w:val="Bibliography"/>
      </w:pPr>
      <w:r>
        <w:t xml:space="preserve">Wu, Z., Sun, B., 1989. Preliminary study of the paleolithic cave site complex at dangcheng, heshun county, shanxi province. Acta Anthropologica Sinica 8, 12.</w:t>
      </w:r>
    </w:p>
    <w:bookmarkEnd w:id="183"/>
    <w:bookmarkStart w:id="184" w:name="ref-wynn1995"/>
    <w:p>
      <w:pPr>
        <w:pStyle w:val="Bibliography"/>
      </w:pPr>
      <w:r>
        <w:t xml:space="preserve">Wynn, T., 1995. Handaxe enigmas. World Archaeology 27, 10–24.</w:t>
      </w:r>
    </w:p>
    <w:bookmarkEnd w:id="184"/>
    <w:bookmarkStart w:id="185" w:name="ref-Xi1994"/>
    <w:p>
      <w:pPr>
        <w:pStyle w:val="Bibliography"/>
      </w:pPr>
      <w:r>
        <w:t xml:space="preserve">Xi, D., 1994. A report on the paleolithic survey in the lower reaches of the yuan river. Hunan Archaeological Journal 6.</w:t>
      </w:r>
    </w:p>
    <w:bookmarkEnd w:id="185"/>
    <w:bookmarkStart w:id="186"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86"/>
    <w:bookmarkStart w:id="187" w:name="ref-XiaokongshanTeam1988"/>
    <w:p>
      <w:pPr>
        <w:pStyle w:val="Bibliography"/>
      </w:pPr>
      <w:r>
        <w:t xml:space="preserve">Xiaokongshan Joint Excavation Team, 1988. Excavation report of the xiaokongshan paleolithic site in nanzhao, henan, in 1987. Huaxia Archaeology 15.</w:t>
      </w:r>
    </w:p>
    <w:bookmarkEnd w:id="187"/>
    <w:bookmarkStart w:id="188" w:name="ref-Xie1982Liujiacha"/>
    <w:p>
      <w:pPr>
        <w:pStyle w:val="Bibliography"/>
      </w:pPr>
      <w:r>
        <w:t xml:space="preserve">Xie, J., 1982. The paleolithic site at liujiacha, huan county, gansu province. Kaogu Xuebao (Acta Archaeologica Sinica) 16.</w:t>
      </w:r>
    </w:p>
    <w:bookmarkEnd w:id="188"/>
    <w:bookmarkStart w:id="190"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9">
        <w:r>
          <w:rPr>
            <w:rStyle w:val="Hyperlink"/>
          </w:rPr>
          <w:t xml:space="preserve">https://doi.org/10.1002/evan.21813</w:t>
        </w:r>
      </w:hyperlink>
    </w:p>
    <w:bookmarkEnd w:id="190"/>
    <w:bookmarkStart w:id="192"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91">
        <w:r>
          <w:rPr>
            <w:rStyle w:val="Hyperlink"/>
          </w:rPr>
          <w:t xml:space="preserve">https://doi.org/10.1371/journal.pone.0185101</w:t>
        </w:r>
      </w:hyperlink>
    </w:p>
    <w:bookmarkEnd w:id="192"/>
    <w:bookmarkStart w:id="19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93"/>
    <w:bookmarkStart w:id="194" w:name="ref-Yi2012Spheroids"/>
    <w:p>
      <w:pPr>
        <w:pStyle w:val="Bibliography"/>
      </w:pPr>
      <w:r>
        <w:t xml:space="preserve">Yi, M., Gao, X., Pei, S., 2012. A preliminary analysis of the definition, classification, and function of stone spheroids. Acta Anthropologica Sinica 31, 9.</w:t>
      </w:r>
    </w:p>
    <w:bookmarkEnd w:id="194"/>
    <w:bookmarkStart w:id="195"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95"/>
    <w:bookmarkStart w:id="196" w:name="ref-yuwei2023"/>
    <w:p>
      <w:pPr>
        <w:pStyle w:val="Bibliography"/>
      </w:pPr>
      <w:r>
        <w:t xml:space="preserve">Yuwei, D., Yue, Z., Zhi, Y., Shuwen, P., 2023. A taphonomic analysis of faunal remains from the jijiazhuang paleolithic site in the yuxian basin. Acta Anthropologica Sinica 42, 359.</w:t>
      </w:r>
    </w:p>
    <w:bookmarkEnd w:id="196"/>
    <w:bookmarkStart w:id="198"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7">
        <w:r>
          <w:rPr>
            <w:rStyle w:val="Hyperlink"/>
          </w:rPr>
          <w:t xml:space="preserve">https://doi.org/10.1038/35096551</w:t>
        </w:r>
      </w:hyperlink>
    </w:p>
    <w:bookmarkEnd w:id="198"/>
    <w:bookmarkStart w:id="200"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9">
        <w:r>
          <w:rPr>
            <w:rStyle w:val="Hyperlink"/>
          </w:rPr>
          <w:t xml:space="preserve">https://doi.org/10.1038/nature02829</w:t>
        </w:r>
      </w:hyperlink>
    </w:p>
    <w:bookmarkEnd w:id="200"/>
    <w:bookmarkEnd w:id="201"/>
    <w:p>
      <w:r>
        <w:br w:type="page"/>
      </w:r>
    </w:p>
    <w:bookmarkStart w:id="202" w:name="colophon"/>
    <w:p>
      <w:pPr>
        <w:pStyle w:val="Heading3"/>
      </w:pPr>
      <w:r>
        <w:t xml:space="preserve">Colophon</w:t>
      </w:r>
    </w:p>
    <w:p>
      <w:pPr>
        <w:pStyle w:val="FirstParagraph"/>
      </w:pPr>
      <w:r>
        <w:t xml:space="preserve">This report was generated on 2025-08-13 10:53:05.736528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2025-08-13</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[a8638cd] 2025-08-12: working on figures</w:t>
      </w:r>
    </w:p>
    <w:bookmarkEnd w:id="202"/>
    <w:bookmarkEnd w:id="20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33" Target="media/rId33.png" /><Relationship Type="http://schemas.openxmlformats.org/officeDocument/2006/relationships/image" Id="rId75" Target="media/rId75.png" /><Relationship Type="http://schemas.openxmlformats.org/officeDocument/2006/relationships/image" Id="rId89" Target="media/rId89.png" /><Relationship Type="http://schemas.openxmlformats.org/officeDocument/2006/relationships/hyperlink" Id="rId189" Target="https://doi.org/10.1002/evan.21813" TargetMode="External" /><Relationship Type="http://schemas.openxmlformats.org/officeDocument/2006/relationships/hyperlink" Id="rId159" Target="https://doi.org/10.1006/jasc.1996.0152" TargetMode="External" /><Relationship Type="http://schemas.openxmlformats.org/officeDocument/2006/relationships/hyperlink" Id="rId171" Target="https://doi.org/10.1007/s10816-017-9339-x" TargetMode="External" /><Relationship Type="http://schemas.openxmlformats.org/officeDocument/2006/relationships/hyperlink" Id="rId103" Target="https://doi.org/10.1007/s41982-024-00195-x" TargetMode="External" /><Relationship Type="http://schemas.openxmlformats.org/officeDocument/2006/relationships/hyperlink" Id="rId145" Target="https://doi.org/10.1016/j.jaa.2004.12.001" TargetMode="External" /><Relationship Type="http://schemas.openxmlformats.org/officeDocument/2006/relationships/hyperlink" Id="rId154" Target="https://doi.org/10.1016/j.palaeo.2019.05.014" TargetMode="External" /><Relationship Type="http://schemas.openxmlformats.org/officeDocument/2006/relationships/hyperlink" Id="rId150" Target="https://doi.org/10.1016/j.quaint.2025.109681" TargetMode="External" /><Relationship Type="http://schemas.openxmlformats.org/officeDocument/2006/relationships/hyperlink" Id="rId197" Target="https://doi.org/10.1038/35096551" TargetMode="External" /><Relationship Type="http://schemas.openxmlformats.org/officeDocument/2006/relationships/hyperlink" Id="rId199" Target="https://doi.org/10.1038/nature02829" TargetMode="External" /><Relationship Type="http://schemas.openxmlformats.org/officeDocument/2006/relationships/hyperlink" Id="rId117" Target="https://doi.org/10.1038/s41598-021-04181-z" TargetMode="External" /><Relationship Type="http://schemas.openxmlformats.org/officeDocument/2006/relationships/hyperlink" Id="rId99" Target="https://doi.org/10.1073/pnas.1221285110" TargetMode="External" /><Relationship Type="http://schemas.openxmlformats.org/officeDocument/2006/relationships/hyperlink" Id="rId101" Target="https://doi.org/10.1073/pnas.1820177116" TargetMode="External" /><Relationship Type="http://schemas.openxmlformats.org/officeDocument/2006/relationships/hyperlink" Id="rId181" Target="https://doi.org/10.1080/00438243.1985.9979949" TargetMode="External" /><Relationship Type="http://schemas.openxmlformats.org/officeDocument/2006/relationships/hyperlink" Id="rId148" Target="https://doi.org/10.1080/01977261.2022.2103290" TargetMode="External" /><Relationship Type="http://schemas.openxmlformats.org/officeDocument/2006/relationships/hyperlink" Id="rId108" Target="https://doi.org/10.1086/422079" TargetMode="External" /><Relationship Type="http://schemas.openxmlformats.org/officeDocument/2006/relationships/hyperlink" Id="rId173" Target="https://doi.org/10.1086/624298" TargetMode="External" /><Relationship Type="http://schemas.openxmlformats.org/officeDocument/2006/relationships/hyperlink" Id="rId120" Target="https://doi.org/10.1242/dev.202251" TargetMode="External" /><Relationship Type="http://schemas.openxmlformats.org/officeDocument/2006/relationships/hyperlink" Id="rId163" Target="https://doi.org/10.1371/journal.pone.0121804" TargetMode="External" /><Relationship Type="http://schemas.openxmlformats.org/officeDocument/2006/relationships/hyperlink" Id="rId191" Target="https://doi.org/10.1371/journal.pone.0185101" TargetMode="External" /><Relationship Type="http://schemas.openxmlformats.org/officeDocument/2006/relationships/hyperlink" Id="rId157" Target="https://doi.org/10.1371/journal.pone.0187251" TargetMode="External" /><Relationship Type="http://schemas.openxmlformats.org/officeDocument/2006/relationships/hyperlink" Id="rId168" Target="https://doi.org/10.1371/journal.pone.0228290" TargetMode="External" /><Relationship Type="http://schemas.openxmlformats.org/officeDocument/2006/relationships/hyperlink" Id="rId110" Target="https://doi.org/10.2218/jls.v4i1.1682" TargetMode="External" /><Relationship Type="http://schemas.openxmlformats.org/officeDocument/2006/relationships/hyperlink" Id="rId113"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9" Target="https://doi.org/10.1002/evan.21813" TargetMode="External" /><Relationship Type="http://schemas.openxmlformats.org/officeDocument/2006/relationships/hyperlink" Id="rId159" Target="https://doi.org/10.1006/jasc.1996.0152" TargetMode="External" /><Relationship Type="http://schemas.openxmlformats.org/officeDocument/2006/relationships/hyperlink" Id="rId171" Target="https://doi.org/10.1007/s10816-017-9339-x" TargetMode="External" /><Relationship Type="http://schemas.openxmlformats.org/officeDocument/2006/relationships/hyperlink" Id="rId103" Target="https://doi.org/10.1007/s41982-024-00195-x" TargetMode="External" /><Relationship Type="http://schemas.openxmlformats.org/officeDocument/2006/relationships/hyperlink" Id="rId145" Target="https://doi.org/10.1016/j.jaa.2004.12.001" TargetMode="External" /><Relationship Type="http://schemas.openxmlformats.org/officeDocument/2006/relationships/hyperlink" Id="rId154" Target="https://doi.org/10.1016/j.palaeo.2019.05.014" TargetMode="External" /><Relationship Type="http://schemas.openxmlformats.org/officeDocument/2006/relationships/hyperlink" Id="rId150" Target="https://doi.org/10.1016/j.quaint.2025.109681" TargetMode="External" /><Relationship Type="http://schemas.openxmlformats.org/officeDocument/2006/relationships/hyperlink" Id="rId197" Target="https://doi.org/10.1038/35096551" TargetMode="External" /><Relationship Type="http://schemas.openxmlformats.org/officeDocument/2006/relationships/hyperlink" Id="rId199" Target="https://doi.org/10.1038/nature02829" TargetMode="External" /><Relationship Type="http://schemas.openxmlformats.org/officeDocument/2006/relationships/hyperlink" Id="rId117" Target="https://doi.org/10.1038/s41598-021-04181-z" TargetMode="External" /><Relationship Type="http://schemas.openxmlformats.org/officeDocument/2006/relationships/hyperlink" Id="rId99" Target="https://doi.org/10.1073/pnas.1221285110" TargetMode="External" /><Relationship Type="http://schemas.openxmlformats.org/officeDocument/2006/relationships/hyperlink" Id="rId101" Target="https://doi.org/10.1073/pnas.1820177116" TargetMode="External" /><Relationship Type="http://schemas.openxmlformats.org/officeDocument/2006/relationships/hyperlink" Id="rId181" Target="https://doi.org/10.1080/00438243.1985.9979949" TargetMode="External" /><Relationship Type="http://schemas.openxmlformats.org/officeDocument/2006/relationships/hyperlink" Id="rId148" Target="https://doi.org/10.1080/01977261.2022.2103290" TargetMode="External" /><Relationship Type="http://schemas.openxmlformats.org/officeDocument/2006/relationships/hyperlink" Id="rId108" Target="https://doi.org/10.1086/422079" TargetMode="External" /><Relationship Type="http://schemas.openxmlformats.org/officeDocument/2006/relationships/hyperlink" Id="rId173" Target="https://doi.org/10.1086/624298" TargetMode="External" /><Relationship Type="http://schemas.openxmlformats.org/officeDocument/2006/relationships/hyperlink" Id="rId120" Target="https://doi.org/10.1242/dev.202251" TargetMode="External" /><Relationship Type="http://schemas.openxmlformats.org/officeDocument/2006/relationships/hyperlink" Id="rId163" Target="https://doi.org/10.1371/journal.pone.0121804" TargetMode="External" /><Relationship Type="http://schemas.openxmlformats.org/officeDocument/2006/relationships/hyperlink" Id="rId191" Target="https://doi.org/10.1371/journal.pone.0185101" TargetMode="External" /><Relationship Type="http://schemas.openxmlformats.org/officeDocument/2006/relationships/hyperlink" Id="rId157" Target="https://doi.org/10.1371/journal.pone.0187251" TargetMode="External" /><Relationship Type="http://schemas.openxmlformats.org/officeDocument/2006/relationships/hyperlink" Id="rId168" Target="https://doi.org/10.1371/journal.pone.0228290" TargetMode="External" /><Relationship Type="http://schemas.openxmlformats.org/officeDocument/2006/relationships/hyperlink" Id="rId110" Target="https://doi.org/10.2218/jls.v4i1.1682" TargetMode="External" /><Relationship Type="http://schemas.openxmlformats.org/officeDocument/2006/relationships/hyperlink" Id="rId113"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2025-08-13T17:53:10Z</dcterms:created>
  <dcterms:modified xsi:type="dcterms:W3CDTF">2025-08-13T17:53:10Z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13,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